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6398" w14:textId="77777777" w:rsidR="001F2248" w:rsidRDefault="001F2248">
      <w:pPr>
        <w:rPr>
          <w:color w:val="222222"/>
          <w:highlight w:val="white"/>
        </w:rPr>
      </w:pPr>
    </w:p>
    <w:p w14:paraId="5A127FDB" w14:textId="77777777" w:rsidR="001F2248" w:rsidRDefault="001F2248">
      <w:pPr>
        <w:rPr>
          <w:color w:val="222222"/>
          <w:sz w:val="8"/>
          <w:szCs w:val="8"/>
          <w:highlight w:val="white"/>
        </w:rPr>
      </w:pPr>
    </w:p>
    <w:p w14:paraId="12BFD2E5" w14:textId="77777777" w:rsidR="001F2248" w:rsidRDefault="001F2248">
      <w:pPr>
        <w:rPr>
          <w:color w:val="222222"/>
          <w:highlight w:val="white"/>
        </w:rPr>
      </w:pPr>
    </w:p>
    <w:tbl>
      <w:tblPr>
        <w:tblStyle w:val="a0"/>
        <w:tblW w:w="10197" w:type="dxa"/>
        <w:tblInd w:w="-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6"/>
        <w:gridCol w:w="3120"/>
        <w:gridCol w:w="3551"/>
      </w:tblGrid>
      <w:tr w:rsidR="001F2248" w14:paraId="3869541D" w14:textId="7777777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68F7" w14:textId="77777777" w:rsidR="001F22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BA65" w14:textId="77777777" w:rsidR="001F22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Affiliation</w:t>
            </w:r>
          </w:p>
        </w:tc>
        <w:tc>
          <w:tcPr>
            <w:tcW w:w="3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BFC2" w14:textId="77777777" w:rsidR="001F22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Email address</w:t>
            </w:r>
          </w:p>
        </w:tc>
      </w:tr>
      <w:tr w:rsidR="001F2248" w14:paraId="600D7E71" w14:textId="7777777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9FD2" w14:textId="77777777" w:rsidR="001F22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666666"/>
                <w:highlight w:val="white"/>
              </w:rPr>
            </w:pPr>
            <w:r>
              <w:rPr>
                <w:i/>
                <w:color w:val="666666"/>
                <w:highlight w:val="white"/>
              </w:rPr>
              <w:t>[Insert name]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197A" w14:textId="77777777" w:rsidR="001F22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666666"/>
                <w:highlight w:val="white"/>
              </w:rPr>
            </w:pPr>
            <w:r>
              <w:rPr>
                <w:i/>
                <w:color w:val="666666"/>
                <w:highlight w:val="white"/>
              </w:rPr>
              <w:t>[Insert affiliation]</w:t>
            </w:r>
          </w:p>
        </w:tc>
        <w:tc>
          <w:tcPr>
            <w:tcW w:w="3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1D29" w14:textId="77777777" w:rsidR="001F22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666666"/>
                <w:highlight w:val="white"/>
              </w:rPr>
            </w:pPr>
            <w:r>
              <w:rPr>
                <w:i/>
                <w:color w:val="666666"/>
                <w:highlight w:val="white"/>
              </w:rPr>
              <w:t>[Insert email address]</w:t>
            </w:r>
          </w:p>
        </w:tc>
      </w:tr>
    </w:tbl>
    <w:p w14:paraId="00B89902" w14:textId="77777777" w:rsidR="001F2248" w:rsidRDefault="001F2248">
      <w:pPr>
        <w:rPr>
          <w:color w:val="222222"/>
          <w:highlight w:val="whit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F2248" w14:paraId="3C947CE4" w14:textId="77777777">
        <w:tc>
          <w:tcPr>
            <w:tcW w:w="9360" w:type="dxa"/>
            <w:tcBorders>
              <w:top w:val="nil"/>
              <w:left w:val="nil"/>
              <w:bottom w:val="single" w:sz="12" w:space="0" w:color="4C9555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A10A" w14:textId="77777777" w:rsidR="001F2248" w:rsidRDefault="00000000">
            <w:pPr>
              <w:pStyle w:val="Heading1"/>
              <w:spacing w:before="0" w:after="0" w:line="240" w:lineRule="auto"/>
              <w:rPr>
                <w:rFonts w:ascii="Lato Black" w:eastAsia="Lato Black" w:hAnsi="Lato Black" w:cs="Lato Black"/>
                <w:color w:val="4C9555"/>
                <w:sz w:val="28"/>
                <w:szCs w:val="28"/>
              </w:rPr>
            </w:pPr>
            <w:bookmarkStart w:id="0" w:name="_heading=h.ix1ke942qfkg" w:colFirst="0" w:colLast="0"/>
            <w:bookmarkEnd w:id="0"/>
            <w:r>
              <w:rPr>
                <w:rFonts w:ascii="Lato Black" w:eastAsia="Lato Black" w:hAnsi="Lato Black" w:cs="Lato Black"/>
                <w:color w:val="4C9555"/>
                <w:sz w:val="28"/>
                <w:szCs w:val="28"/>
              </w:rPr>
              <w:t>Principles</w:t>
            </w:r>
          </w:p>
          <w:p w14:paraId="5F78E921" w14:textId="77777777" w:rsidR="001F2248" w:rsidRDefault="001F2248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278811DE" w14:textId="77777777" w:rsidR="001F2248" w:rsidRDefault="001F2248">
      <w:pPr>
        <w:rPr>
          <w:color w:val="222222"/>
          <w:highlight w:val="white"/>
        </w:rPr>
      </w:pPr>
    </w:p>
    <w:p w14:paraId="2A223FBA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Support digital and data management systems and associated governance frameworks that promote and strengthen human rights and democratic governance.</w:t>
      </w:r>
    </w:p>
    <w:p w14:paraId="7EF38062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Support the alignment of legal and regulatory frameworks and technical standards with international human rights laws, standards, and principles to monitor, prevent, and/or mitigate adverse impacts of digital technologies and data.</w:t>
      </w:r>
    </w:p>
    <w:p w14:paraId="5E912A2F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Drive private and public-sector investment in rights-respecting digital innovation and data management, including through supporting processes for public service software development.</w:t>
      </w:r>
    </w:p>
    <w:p w14:paraId="020C2D36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Encourage an impact assessment process for how human rights considerations are integrated into all programs with digital components across sectors.</w:t>
      </w:r>
    </w:p>
    <w:p w14:paraId="282F25D1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Encourage all programs to prioritize digital inclusion, including by engaging with stakeholders and resources from the local digital ecosystem.</w:t>
      </w:r>
    </w:p>
    <w:p w14:paraId="33CA9B6B" w14:textId="1A8ECD4E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Promote meaningful education of and participation by new and diverse actors – especially individuals and groups who experience vulnerability, </w:t>
      </w:r>
      <w:proofErr w:type="gramStart"/>
      <w:r>
        <w:rPr>
          <w:rFonts w:ascii="Lato" w:eastAsia="Lato" w:hAnsi="Lato" w:cs="Lato"/>
        </w:rPr>
        <w:t>marginalization</w:t>
      </w:r>
      <w:proofErr w:type="gramEnd"/>
      <w:r>
        <w:rPr>
          <w:rFonts w:ascii="Lato" w:eastAsia="Lato" w:hAnsi="Lato" w:cs="Lato"/>
        </w:rPr>
        <w:t xml:space="preserve"> or exclusion – in the design and development of digital solutions and the governance and evaluation of digital technologies and data.</w:t>
      </w:r>
    </w:p>
    <w:p w14:paraId="7EB93634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Facilitate and strengthen effective multi-stakeholder alliances and foster donor coordination.</w:t>
      </w:r>
    </w:p>
    <w:p w14:paraId="22615D08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Encourage a “Hippocratic Oath” for individuals involved in the lifecycle of software and algorithmic development.</w:t>
      </w:r>
    </w:p>
    <w:p w14:paraId="0C3AC437" w14:textId="77777777" w:rsidR="001F2248" w:rsidRDefault="00000000">
      <w:pPr>
        <w:numPr>
          <w:ilvl w:val="0"/>
          <w:numId w:val="1"/>
        </w:numPr>
        <w:spacing w:after="200"/>
        <w:rPr>
          <w:rFonts w:ascii="Lato" w:eastAsia="Lato" w:hAnsi="Lato" w:cs="Lato"/>
        </w:rPr>
      </w:pPr>
      <w:r>
        <w:rPr>
          <w:rFonts w:ascii="Lato" w:eastAsia="Lato" w:hAnsi="Lato" w:cs="Lato"/>
        </w:rPr>
        <w:t>Adopt and promote the Principles for Digital Development,</w:t>
      </w:r>
      <w:r>
        <w:rPr>
          <w:rFonts w:ascii="Lato" w:eastAsia="Lato" w:hAnsi="Lato" w:cs="Lato"/>
          <w:vertAlign w:val="superscript"/>
        </w:rPr>
        <w:footnoteReference w:id="1"/>
      </w:r>
      <w:r>
        <w:rPr>
          <w:rFonts w:ascii="Lato" w:eastAsia="Lato" w:hAnsi="Lato" w:cs="Lato"/>
        </w:rPr>
        <w:t xml:space="preserve"> including by integrating digital solutions across sectors and programs, if appropriate.</w:t>
      </w:r>
    </w:p>
    <w:p w14:paraId="45863052" w14:textId="77777777" w:rsidR="001F2248" w:rsidRDefault="001F2248"/>
    <w:p w14:paraId="47F8986C" w14:textId="77777777" w:rsidR="001F2248" w:rsidRDefault="001F2248"/>
    <w:sectPr w:rsidR="001F22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8736" w14:textId="77777777" w:rsidR="0091133D" w:rsidRDefault="0091133D">
      <w:pPr>
        <w:spacing w:line="240" w:lineRule="auto"/>
      </w:pPr>
      <w:r>
        <w:separator/>
      </w:r>
    </w:p>
  </w:endnote>
  <w:endnote w:type="continuationSeparator" w:id="0">
    <w:p w14:paraId="39CA4470" w14:textId="77777777" w:rsidR="0091133D" w:rsidRDefault="0091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BE55" w14:textId="15C7E883" w:rsidR="001F2248" w:rsidRDefault="00000000">
    <w:pPr>
      <w:ind w:left="720" w:firstLine="720"/>
      <w:rPr>
        <w:rFonts w:ascii="Lato Black" w:eastAsia="Lato Black" w:hAnsi="Lato Black" w:cs="Lato Black"/>
        <w:color w:val="4C9555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6ED55E3" wp14:editId="312FA143">
          <wp:simplePos x="0" y="0"/>
          <wp:positionH relativeFrom="column">
            <wp:posOffset>-47623</wp:posOffset>
          </wp:positionH>
          <wp:positionV relativeFrom="paragraph">
            <wp:posOffset>114300</wp:posOffset>
          </wp:positionV>
          <wp:extent cx="575963" cy="57037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13" r="1313"/>
                  <a:stretch>
                    <a:fillRect/>
                  </a:stretch>
                </pic:blipFill>
                <pic:spPr>
                  <a:xfrm>
                    <a:off x="0" y="0"/>
                    <a:ext cx="575963" cy="570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EAA14A" w14:textId="77777777" w:rsidR="001F2248" w:rsidRDefault="00000000">
    <w:pPr>
      <w:ind w:left="720" w:firstLine="720"/>
      <w:rPr>
        <w:rFonts w:ascii="Lato Black" w:eastAsia="Lato Black" w:hAnsi="Lato Black" w:cs="Lato Black"/>
        <w:color w:val="00524F"/>
      </w:rPr>
    </w:pPr>
    <w:r>
      <w:rPr>
        <w:rFonts w:ascii="Lato Black" w:eastAsia="Lato Black" w:hAnsi="Lato Black" w:cs="Lato Black"/>
        <w:color w:val="00524F"/>
      </w:rPr>
      <w:t>FOC Donor Principles for Human Rights in the Digital Age</w:t>
    </w:r>
    <w:r>
      <w:rPr>
        <w:rFonts w:ascii="Lato" w:eastAsia="Lato" w:hAnsi="Lato" w:cs="Lato"/>
        <w:color w:val="00524F"/>
      </w:rPr>
      <w:tab/>
    </w:r>
    <w:r>
      <w:rPr>
        <w:rFonts w:ascii="Lato" w:eastAsia="Lato" w:hAnsi="Lato" w:cs="Lato"/>
        <w:color w:val="00524F"/>
      </w:rPr>
      <w:tab/>
    </w:r>
    <w:r>
      <w:rPr>
        <w:rFonts w:ascii="Lato" w:eastAsia="Lato" w:hAnsi="Lato" w:cs="Lato"/>
        <w:color w:val="00524F"/>
      </w:rPr>
      <w:tab/>
    </w:r>
    <w:r>
      <w:rPr>
        <w:rFonts w:ascii="Lato" w:eastAsia="Lato" w:hAnsi="Lato" w:cs="Lato"/>
        <w:b/>
        <w:color w:val="00524F"/>
      </w:rPr>
      <w:fldChar w:fldCharType="begin"/>
    </w:r>
    <w:r>
      <w:rPr>
        <w:rFonts w:ascii="Lato" w:eastAsia="Lato" w:hAnsi="Lato" w:cs="Lato"/>
        <w:b/>
        <w:color w:val="00524F"/>
      </w:rPr>
      <w:instrText>PAGE</w:instrText>
    </w:r>
    <w:r>
      <w:rPr>
        <w:rFonts w:ascii="Lato" w:eastAsia="Lato" w:hAnsi="Lato" w:cs="Lato"/>
        <w:b/>
        <w:color w:val="00524F"/>
      </w:rPr>
      <w:fldChar w:fldCharType="separate"/>
    </w:r>
    <w:r w:rsidR="007E6419">
      <w:rPr>
        <w:rFonts w:ascii="Lato" w:eastAsia="Lato" w:hAnsi="Lato" w:cs="Lato"/>
        <w:b/>
        <w:noProof/>
        <w:color w:val="00524F"/>
      </w:rPr>
      <w:t>1</w:t>
    </w:r>
    <w:r>
      <w:rPr>
        <w:rFonts w:ascii="Lato" w:eastAsia="Lato" w:hAnsi="Lato" w:cs="Lato"/>
        <w:b/>
        <w:color w:val="00524F"/>
      </w:rPr>
      <w:fldChar w:fldCharType="end"/>
    </w:r>
  </w:p>
  <w:p w14:paraId="773A68A0" w14:textId="77777777" w:rsidR="001F2248" w:rsidRDefault="00000000">
    <w:pPr>
      <w:ind w:left="720" w:firstLine="720"/>
      <w:rPr>
        <w:rFonts w:ascii="Lato" w:eastAsia="Lato" w:hAnsi="Lato" w:cs="Lato"/>
        <w:color w:val="00524F"/>
      </w:rPr>
    </w:pPr>
    <w:r>
      <w:rPr>
        <w:rFonts w:ascii="Lato" w:eastAsia="Lato" w:hAnsi="Lato" w:cs="Lato"/>
        <w:color w:val="00524F"/>
      </w:rPr>
      <w:t>Zero Draft - Public Consultations,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F125" w14:textId="77777777" w:rsidR="0091133D" w:rsidRDefault="0091133D">
      <w:pPr>
        <w:spacing w:line="240" w:lineRule="auto"/>
      </w:pPr>
      <w:r>
        <w:separator/>
      </w:r>
    </w:p>
  </w:footnote>
  <w:footnote w:type="continuationSeparator" w:id="0">
    <w:p w14:paraId="412665B3" w14:textId="77777777" w:rsidR="0091133D" w:rsidRDefault="0091133D">
      <w:pPr>
        <w:spacing w:line="240" w:lineRule="auto"/>
      </w:pPr>
      <w:r>
        <w:continuationSeparator/>
      </w:r>
    </w:p>
  </w:footnote>
  <w:footnote w:id="1">
    <w:p w14:paraId="3162D992" w14:textId="77777777" w:rsidR="001F2248" w:rsidRDefault="00000000">
      <w:pPr>
        <w:spacing w:line="240" w:lineRule="auto"/>
        <w:rPr>
          <w:rFonts w:ascii="Lato" w:eastAsia="Lato" w:hAnsi="Lato" w:cs="Lato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ato" w:eastAsia="Lato" w:hAnsi="Lato" w:cs="Lato"/>
          <w:sz w:val="20"/>
          <w:szCs w:val="20"/>
        </w:rPr>
        <w:t xml:space="preserve"> See, for example, </w:t>
      </w:r>
      <w:r>
        <w:rPr>
          <w:rFonts w:ascii="Lato" w:eastAsia="Lato" w:hAnsi="Lato" w:cs="Lato"/>
          <w:i/>
          <w:sz w:val="20"/>
          <w:szCs w:val="20"/>
        </w:rPr>
        <w:t>Principles for Digital Development</w:t>
      </w:r>
      <w:r>
        <w:rPr>
          <w:rFonts w:ascii="Lato" w:eastAsia="Lato" w:hAnsi="Lato" w:cs="Lato"/>
          <w:sz w:val="20"/>
          <w:szCs w:val="20"/>
        </w:rPr>
        <w:t>, https://digitalprinciples.org/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D7F4" w14:textId="77777777" w:rsidR="001F2248" w:rsidRDefault="00000000">
    <w:pPr>
      <w:rPr>
        <w:rFonts w:ascii="Lato Black" w:eastAsia="Lato Black" w:hAnsi="Lato Black" w:cs="Lato Black"/>
        <w:color w:val="FFFFFF"/>
        <w:sz w:val="30"/>
        <w:szCs w:val="30"/>
      </w:rPr>
    </w:pPr>
    <w:r>
      <w:rPr>
        <w:rFonts w:ascii="Lato Black" w:eastAsia="Lato Black" w:hAnsi="Lato Black" w:cs="Lato Black"/>
        <w:noProof/>
        <w:color w:val="FFFFFF"/>
        <w:sz w:val="30"/>
        <w:szCs w:val="30"/>
      </w:rPr>
      <w:drawing>
        <wp:anchor distT="0" distB="0" distL="0" distR="0" simplePos="0" relativeHeight="251658240" behindDoc="1" locked="0" layoutInCell="1" hidden="0" allowOverlap="1" wp14:anchorId="0B3F9A6E" wp14:editId="22141CA5">
          <wp:simplePos x="0" y="0"/>
          <wp:positionH relativeFrom="page">
            <wp:posOffset>-11996</wp:posOffset>
          </wp:positionH>
          <wp:positionV relativeFrom="page">
            <wp:posOffset>-23098</wp:posOffset>
          </wp:positionV>
          <wp:extent cx="7784698" cy="1180387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4698" cy="1180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ato Black" w:eastAsia="Lato Black" w:hAnsi="Lato Black" w:cs="Lato Black"/>
        <w:color w:val="FFFFFF"/>
        <w:sz w:val="30"/>
        <w:szCs w:val="30"/>
      </w:rPr>
      <w:t>FOC Donor Principles for Human Rights in the Digital Age</w:t>
    </w:r>
  </w:p>
  <w:p w14:paraId="17D49811" w14:textId="77777777" w:rsidR="001F2248" w:rsidRDefault="00000000">
    <w:pPr>
      <w:rPr>
        <w:rFonts w:ascii="Lato" w:eastAsia="Lato" w:hAnsi="Lato" w:cs="Lato"/>
        <w:b/>
        <w:color w:val="AFCF72"/>
      </w:rPr>
    </w:pPr>
    <w:r>
      <w:rPr>
        <w:rFonts w:ascii="Lato" w:eastAsia="Lato" w:hAnsi="Lato" w:cs="Lato"/>
        <w:b/>
        <w:color w:val="AFCF72"/>
      </w:rPr>
      <w:t>Zero Draft - Public Consultations, July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512"/>
    <w:multiLevelType w:val="multilevel"/>
    <w:tmpl w:val="75C0A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065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48"/>
    <w:rsid w:val="001F2248"/>
    <w:rsid w:val="007E6419"/>
    <w:rsid w:val="009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71BB5"/>
  <w15:docId w15:val="{0A8F3021-FD45-EE49-9F35-C709022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4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19"/>
  </w:style>
  <w:style w:type="paragraph" w:styleId="Footer">
    <w:name w:val="footer"/>
    <w:basedOn w:val="Normal"/>
    <w:link w:val="FooterChar"/>
    <w:uiPriority w:val="99"/>
    <w:unhideWhenUsed/>
    <w:rsid w:val="007E64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gvt9yCJvn9y3F3kGTA+6igAWpA==">CgMxLjAyDmguaXgxa2U5NDJxZmtnOAByITFHZDl2M3A5TTlUb0hZSXJYV2hhMmswSlBGU2pfY2VFdQ==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Bradley</cp:lastModifiedBy>
  <cp:revision>2</cp:revision>
  <dcterms:created xsi:type="dcterms:W3CDTF">2023-07-17T13:17:00Z</dcterms:created>
  <dcterms:modified xsi:type="dcterms:W3CDTF">2023-07-17T13:17:00Z</dcterms:modified>
</cp:coreProperties>
</file>